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Concentrix Alternatives — Comparison Matrix</w:t>
      </w:r>
    </w:p>
    <w:p>
      <w:pPr>
        <w:jc w:val="center"/>
      </w:pPr>
      <w:r>
        <w:rPr>
          <w:i/>
          <w:color w:val="6B7280"/>
          <w:sz w:val="20"/>
        </w:rPr>
        <w:t>Prepared by FlyFone  |  flyfone.com/concentrix-competitors/</w:t>
      </w:r>
    </w:p>
    <w:p/>
    <w:p>
      <w:pPr>
        <w:pStyle w:val="Heading1"/>
      </w:pPr>
      <w:r>
        <w:t>Pricing Comparison (US-based agents, voice)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b/>
              </w:rPr>
              <w:t>Vendor</w:t>
            </w:r>
          </w:p>
        </w:tc>
        <w:tc>
          <w:tcPr>
            <w:tcW w:type="dxa" w:w="2108"/>
          </w:tcPr>
          <w:p>
            <w:r>
              <w:rPr>
                <w:b/>
              </w:rPr>
              <w:t>Pricing model</w:t>
            </w:r>
          </w:p>
        </w:tc>
        <w:tc>
          <w:tcPr>
            <w:tcW w:type="dxa" w:w="2108"/>
          </w:tcPr>
          <w:p>
            <w:r>
              <w:rPr>
                <w:b/>
              </w:rPr>
              <w:t>Typical rate</w:t>
            </w:r>
          </w:p>
        </w:tc>
        <w:tc>
          <w:tcPr>
            <w:tcW w:type="dxa" w:w="2108"/>
          </w:tcPr>
          <w:p>
            <w:r>
              <w:rPr>
                <w:b/>
              </w:rPr>
              <w:t>Min seats</w:t>
            </w:r>
          </w:p>
        </w:tc>
        <w:tc>
          <w:tcPr>
            <w:tcW w:type="dxa" w:w="2108"/>
          </w:tcPr>
          <w:p>
            <w:r>
              <w:rPr>
                <w:b/>
              </w:rPr>
              <w:t>Contract</w:t>
            </w:r>
          </w:p>
        </w:tc>
      </w:tr>
      <w:tr>
        <w:tc>
          <w:tcPr>
            <w:tcW w:type="dxa" w:w="2108"/>
          </w:tcPr>
          <w:p>
            <w:r>
              <w:t>Concentrix</w:t>
            </w:r>
          </w:p>
        </w:tc>
        <w:tc>
          <w:tcPr>
            <w:tcW w:type="dxa" w:w="2108"/>
          </w:tcPr>
          <w:p>
            <w:r>
              <w:t>Per-seat + project</w:t>
            </w:r>
          </w:p>
        </w:tc>
        <w:tc>
          <w:tcPr>
            <w:tcW w:type="dxa" w:w="2108"/>
          </w:tcPr>
          <w:p>
            <w:r>
              <w:t>$18–$25/hr</w:t>
            </w:r>
          </w:p>
        </w:tc>
        <w:tc>
          <w:tcPr>
            <w:tcW w:type="dxa" w:w="2108"/>
          </w:tcPr>
          <w:p>
            <w:r>
              <w:t>50+</w:t>
            </w:r>
          </w:p>
        </w:tc>
        <w:tc>
          <w:tcPr>
            <w:tcW w:type="dxa" w:w="2108"/>
          </w:tcPr>
          <w:p>
            <w:r>
              <w:t>12 mo</w:t>
            </w:r>
          </w:p>
        </w:tc>
      </w:tr>
      <w:tr>
        <w:tc>
          <w:tcPr>
            <w:tcW w:type="dxa" w:w="2108"/>
          </w:tcPr>
          <w:p>
            <w:r>
              <w:t>Teleperformance</w:t>
            </w:r>
          </w:p>
        </w:tc>
        <w:tc>
          <w:tcPr>
            <w:tcW w:type="dxa" w:w="2108"/>
          </w:tcPr>
          <w:p>
            <w:r>
              <w:t>Per-seat enterprise</w:t>
            </w:r>
          </w:p>
        </w:tc>
        <w:tc>
          <w:tcPr>
            <w:tcW w:type="dxa" w:w="2108"/>
          </w:tcPr>
          <w:p>
            <w:r>
              <w:t>$15–$22/hr</w:t>
            </w:r>
          </w:p>
        </w:tc>
        <w:tc>
          <w:tcPr>
            <w:tcW w:type="dxa" w:w="2108"/>
          </w:tcPr>
          <w:p>
            <w:r>
              <w:t>100+</w:t>
            </w:r>
          </w:p>
        </w:tc>
        <w:tc>
          <w:tcPr>
            <w:tcW w:type="dxa" w:w="2108"/>
          </w:tcPr>
          <w:p>
            <w:r>
              <w:t>12–24 mo</w:t>
            </w:r>
          </w:p>
        </w:tc>
      </w:tr>
      <w:tr>
        <w:tc>
          <w:tcPr>
            <w:tcW w:type="dxa" w:w="2108"/>
          </w:tcPr>
          <w:p>
            <w:r>
              <w:t>Alorica</w:t>
            </w:r>
          </w:p>
        </w:tc>
        <w:tc>
          <w:tcPr>
            <w:tcW w:type="dxa" w:w="2108"/>
          </w:tcPr>
          <w:p>
            <w:r>
              <w:t>Per-seat mid-market</w:t>
            </w:r>
          </w:p>
        </w:tc>
        <w:tc>
          <w:tcPr>
            <w:tcW w:type="dxa" w:w="2108"/>
          </w:tcPr>
          <w:p>
            <w:r>
              <w:t>$14–$20/hr</w:t>
            </w:r>
          </w:p>
        </w:tc>
        <w:tc>
          <w:tcPr>
            <w:tcW w:type="dxa" w:w="2108"/>
          </w:tcPr>
          <w:p>
            <w:r>
              <w:t>20+</w:t>
            </w:r>
          </w:p>
        </w:tc>
        <w:tc>
          <w:tcPr>
            <w:tcW w:type="dxa" w:w="2108"/>
          </w:tcPr>
          <w:p>
            <w:r>
              <w:t>6–12 mo</w:t>
            </w:r>
          </w:p>
        </w:tc>
      </w:tr>
      <w:tr>
        <w:tc>
          <w:tcPr>
            <w:tcW w:type="dxa" w:w="2108"/>
          </w:tcPr>
          <w:p>
            <w:r>
              <w:t>Sykes / Foundever</w:t>
            </w:r>
          </w:p>
        </w:tc>
        <w:tc>
          <w:tcPr>
            <w:tcW w:type="dxa" w:w="2108"/>
          </w:tcPr>
          <w:p>
            <w:r>
              <w:t>Per-seat</w:t>
            </w:r>
          </w:p>
        </w:tc>
        <w:tc>
          <w:tcPr>
            <w:tcW w:type="dxa" w:w="2108"/>
          </w:tcPr>
          <w:p>
            <w:r>
              <w:t>$16–$24/hr</w:t>
            </w:r>
          </w:p>
        </w:tc>
        <w:tc>
          <w:tcPr>
            <w:tcW w:type="dxa" w:w="2108"/>
          </w:tcPr>
          <w:p>
            <w:r>
              <w:t>30+</w:t>
            </w:r>
          </w:p>
        </w:tc>
        <w:tc>
          <w:tcPr>
            <w:tcW w:type="dxa" w:w="2108"/>
          </w:tcPr>
          <w:p>
            <w:r>
              <w:t>12 mo</w:t>
            </w:r>
          </w:p>
        </w:tc>
      </w:tr>
      <w:tr>
        <w:tc>
          <w:tcPr>
            <w:tcW w:type="dxa" w:w="2108"/>
          </w:tcPr>
          <w:p>
            <w:r>
              <w:t>TTEC</w:t>
            </w:r>
          </w:p>
        </w:tc>
        <w:tc>
          <w:tcPr>
            <w:tcW w:type="dxa" w:w="2108"/>
          </w:tcPr>
          <w:p>
            <w:r>
              <w:t>Premium per-seat</w:t>
            </w:r>
          </w:p>
        </w:tc>
        <w:tc>
          <w:tcPr>
            <w:tcW w:type="dxa" w:w="2108"/>
          </w:tcPr>
          <w:p>
            <w:r>
              <w:t>$20–$30/hr</w:t>
            </w:r>
          </w:p>
        </w:tc>
        <w:tc>
          <w:tcPr>
            <w:tcW w:type="dxa" w:w="2108"/>
          </w:tcPr>
          <w:p>
            <w:r>
              <w:t>Enterprise only</w:t>
            </w:r>
          </w:p>
        </w:tc>
        <w:tc>
          <w:tcPr>
            <w:tcW w:type="dxa" w:w="2108"/>
          </w:tcPr>
          <w:p>
            <w:r>
              <w:t>12–24 mo</w:t>
            </w:r>
          </w:p>
        </w:tc>
      </w:tr>
      <w:tr>
        <w:tc>
          <w:tcPr>
            <w:tcW w:type="dxa" w:w="2108"/>
          </w:tcPr>
          <w:p>
            <w:r>
              <w:t>Sutherland</w:t>
            </w:r>
          </w:p>
        </w:tc>
        <w:tc>
          <w:tcPr>
            <w:tcW w:type="dxa" w:w="2108"/>
          </w:tcPr>
          <w:p>
            <w:r>
              <w:t>Hybrid per-seat/call</w:t>
            </w:r>
          </w:p>
        </w:tc>
        <w:tc>
          <w:tcPr>
            <w:tcW w:type="dxa" w:w="2108"/>
          </w:tcPr>
          <w:p>
            <w:r>
              <w:t>$17–$26/hr</w:t>
            </w:r>
          </w:p>
        </w:tc>
        <w:tc>
          <w:tcPr>
            <w:tcW w:type="dxa" w:w="2108"/>
          </w:tcPr>
          <w:p>
            <w:r>
              <w:t>Mid/enterprise</w:t>
            </w:r>
          </w:p>
        </w:tc>
        <w:tc>
          <w:tcPr>
            <w:tcW w:type="dxa" w:w="2108"/>
          </w:tcPr>
          <w:p>
            <w:r>
              <w:t>12 mo</w:t>
            </w:r>
          </w:p>
        </w:tc>
      </w:tr>
      <w:tr>
        <w:tc>
          <w:tcPr>
            <w:tcW w:type="dxa" w:w="2108"/>
          </w:tcPr>
          <w:p>
            <w:r>
              <w:t>Kelly Services</w:t>
            </w:r>
          </w:p>
        </w:tc>
        <w:tc>
          <w:tcPr>
            <w:tcW w:type="dxa" w:w="2108"/>
          </w:tcPr>
          <w:p>
            <w:r>
              <w:t>Project-based</w:t>
            </w:r>
          </w:p>
        </w:tc>
        <w:tc>
          <w:tcPr>
            <w:tcW w:type="dxa" w:w="2108"/>
          </w:tcPr>
          <w:p>
            <w:r>
              <w:t>Custom</w:t>
            </w:r>
          </w:p>
        </w:tc>
        <w:tc>
          <w:tcPr>
            <w:tcW w:type="dxa" w:w="2108"/>
          </w:tcPr>
          <w:p>
            <w:r>
              <w:t>Flexible</w:t>
            </w:r>
          </w:p>
        </w:tc>
        <w:tc>
          <w:tcPr>
            <w:tcW w:type="dxa" w:w="2108"/>
          </w:tcPr>
          <w:p>
            <w:r>
              <w:t>Project</w:t>
            </w:r>
          </w:p>
        </w:tc>
      </w:tr>
      <w:tr>
        <w:tc>
          <w:tcPr>
            <w:tcW w:type="dxa" w:w="2108"/>
          </w:tcPr>
          <w:p>
            <w:r>
              <w:t>TaskUs</w:t>
            </w:r>
          </w:p>
        </w:tc>
        <w:tc>
          <w:tcPr>
            <w:tcW w:type="dxa" w:w="2108"/>
          </w:tcPr>
          <w:p>
            <w:r>
              <w:t>Per-seat digital</w:t>
            </w:r>
          </w:p>
        </w:tc>
        <w:tc>
          <w:tcPr>
            <w:tcW w:type="dxa" w:w="2108"/>
          </w:tcPr>
          <w:p>
            <w:r>
              <w:t>$17–$25/hr</w:t>
            </w:r>
          </w:p>
        </w:tc>
        <w:tc>
          <w:tcPr>
            <w:tcW w:type="dxa" w:w="2108"/>
          </w:tcPr>
          <w:p>
            <w:r>
              <w:t>25+</w:t>
            </w:r>
          </w:p>
        </w:tc>
        <w:tc>
          <w:tcPr>
            <w:tcW w:type="dxa" w:w="2108"/>
          </w:tcPr>
          <w:p>
            <w:r>
              <w:t>12 mo</w:t>
            </w:r>
          </w:p>
        </w:tc>
      </w:tr>
      <w:tr>
        <w:tc>
          <w:tcPr>
            <w:tcW w:type="dxa" w:w="2108"/>
          </w:tcPr>
          <w:p>
            <w:r>
              <w:t>FlyFone (platform)</w:t>
            </w:r>
          </w:p>
        </w:tc>
        <w:tc>
          <w:tcPr>
            <w:tcW w:type="dxa" w:w="2108"/>
          </w:tcPr>
          <w:p>
            <w:r>
              <w:t>Pay-as-you-go</w:t>
            </w:r>
          </w:p>
        </w:tc>
        <w:tc>
          <w:tcPr>
            <w:tcW w:type="dxa" w:w="2108"/>
          </w:tcPr>
          <w:p>
            <w:r>
              <w:t>$0 seat fee</w:t>
            </w:r>
          </w:p>
        </w:tc>
        <w:tc>
          <w:tcPr>
            <w:tcW w:type="dxa" w:w="2108"/>
          </w:tcPr>
          <w:p>
            <w:r>
              <w:t>1 agent</w:t>
            </w:r>
          </w:p>
        </w:tc>
        <w:tc>
          <w:tcPr>
            <w:tcW w:type="dxa" w:w="2108"/>
          </w:tcPr>
          <w:p>
            <w:r>
              <w:t>Month-to-month</w:t>
            </w:r>
          </w:p>
        </w:tc>
      </w:tr>
    </w:tbl>
    <w:p/>
    <w:p>
      <w:pPr>
        <w:pStyle w:val="Heading1"/>
      </w:pPr>
      <w:r>
        <w:t>Capability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rPr>
                <w:b/>
                <w:sz w:val="18"/>
              </w:rPr>
              <w:t>Criterion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Concentrix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Teleperformance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Alorica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TTEC</w:t>
            </w:r>
          </w:p>
        </w:tc>
        <w:tc>
          <w:tcPr>
            <w:tcW w:type="dxa" w:w="1757"/>
          </w:tcPr>
          <w:p>
            <w:r>
              <w:rPr>
                <w:b/>
                <w:sz w:val="18"/>
              </w:rPr>
              <w:t>FlyFone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Headcount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440k+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500k+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100k+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62k+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SaaS platform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Coverage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70+ countries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100+ countries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17+ countries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25+ countries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110+ countries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Min seats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50+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100+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20+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Enterprise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1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AI maturity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High (iX)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High (TAP)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High (Humanify)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High (native AI QA)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Industries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Broad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Broad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Retail/Financial/Health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Tech/Financial/Health/Auto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Product-agnostic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Onboarding time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8–12 weeks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8–12 weeks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4–8 weeks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8–16 weeks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24 hours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Pricing transparency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Low (RFP)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Low (RFP)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Low (enterprise)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High (public rates)</w:t>
            </w:r>
          </w:p>
        </w:tc>
      </w:tr>
      <w:tr>
        <w:tc>
          <w:tcPr>
            <w:tcW w:type="dxa" w:w="1757"/>
          </w:tcPr>
          <w:p>
            <w:r>
              <w:rPr>
                <w:b/>
                <w:sz w:val="18"/>
              </w:rPr>
              <w:t>Best for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Multi-region enterprise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Enterprise scale 100+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Mid-market US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Premium tech CX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  <w:t>SMB to mid, fast launch</w:t>
            </w:r>
          </w:p>
        </w:tc>
      </w:tr>
    </w:tbl>
    <w:p/>
    <w:p>
      <w:pPr>
        <w:pStyle w:val="Heading1"/>
      </w:pPr>
      <w:r>
        <w:t>Industry Recommendations</w:t>
      </w:r>
    </w:p>
    <w:p>
      <w:r>
        <w:rPr>
          <w:b/>
        </w:rPr>
        <w:t xml:space="preserve">Healthcare: </w:t>
      </w:r>
      <w:r>
        <w:t>TTEC, Sutherland, Concentrix — HIPAA expertise, US data residency critical</w:t>
      </w:r>
    </w:p>
    <w:p>
      <w:r>
        <w:rPr>
          <w:b/>
        </w:rPr>
        <w:t xml:space="preserve">Financial Services: </w:t>
      </w:r>
      <w:r>
        <w:t>Teleperformance, TTEC, Alorica — PCI DSS Level 1, SOC 2 required</w:t>
      </w:r>
    </w:p>
    <w:p>
      <w:r>
        <w:rPr>
          <w:b/>
        </w:rPr>
        <w:t xml:space="preserve">Retail &amp; E-commerce: </w:t>
      </w:r>
      <w:r>
        <w:t>Alorica, TaskUs, Teleperformance — peak-season flexibility (3x ramp)</w:t>
      </w:r>
    </w:p>
    <w:p>
      <w:r>
        <w:rPr>
          <w:b/>
        </w:rPr>
        <w:t xml:space="preserve">Tech &amp; SaaS: </w:t>
      </w:r>
      <w:r>
        <w:t>TaskUs, TTEC, Sykes/Foundever — product-trained agents, API-first</w:t>
      </w:r>
    </w:p>
    <w:p>
      <w:r>
        <w:rPr>
          <w:b/>
        </w:rPr>
        <w:t xml:space="preserve">Gaming: </w:t>
      </w:r>
      <w:r>
        <w:t>Keywords Studios, PTW, TaskUs — gaming-specialized, 24/7 multilingual</w:t>
      </w:r>
    </w:p>
    <w:p>
      <w:r>
        <w:rPr>
          <w:b/>
        </w:rPr>
        <w:t xml:space="preserve">Travel &amp; Hospitality: </w:t>
      </w:r>
      <w:r>
        <w:t>Teleperformance, iQor, Sutherland — multi-region, seasonal handling</w:t>
      </w:r>
    </w:p>
    <w:p/>
    <w:p>
      <w:pPr>
        <w:jc w:val="center"/>
      </w:pPr>
      <w:r>
        <w:rPr>
          <w:i/>
          <w:color w:val="4F46E5"/>
        </w:rPr>
        <w:t>Full analysis at flyfone.com/concentrix-competitors/</w:t>
      </w:r>
    </w:p>
    <w:sectPr w:rsidR="00FC693F" w:rsidRPr="0006063C" w:rsidSect="00034616">
      <w:pgSz w:w="12240" w:h="15840"/>
      <w:pgMar w:top="1440" w:right="850" w:bottom="144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